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69" w:rsidRPr="008D5FDC" w:rsidRDefault="00CB2E69" w:rsidP="00CB2E69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8D5FDC">
        <w:rPr>
          <w:rFonts w:ascii="標楷體" w:eastAsia="標楷體" w:hAnsi="標楷體" w:hint="eastAsia"/>
          <w:sz w:val="28"/>
        </w:rPr>
        <w:t>111年</w:t>
      </w:r>
      <w:r>
        <w:rPr>
          <w:rFonts w:ascii="標楷體" w:eastAsia="標楷體" w:hAnsi="標楷體" w:hint="eastAsia"/>
          <w:sz w:val="28"/>
        </w:rPr>
        <w:t>替代</w:t>
      </w:r>
      <w:proofErr w:type="gramStart"/>
      <w:r>
        <w:rPr>
          <w:rFonts w:ascii="標楷體" w:eastAsia="標楷體" w:hAnsi="標楷體" w:hint="eastAsia"/>
          <w:sz w:val="28"/>
        </w:rPr>
        <w:t>療</w:t>
      </w:r>
      <w:proofErr w:type="gramEnd"/>
      <w:r w:rsidRPr="008D5FDC">
        <w:rPr>
          <w:rFonts w:ascii="標楷體" w:eastAsia="標楷體" w:hAnsi="標楷體" w:hint="eastAsia"/>
          <w:sz w:val="28"/>
        </w:rPr>
        <w:t>專業人員繼續教育訓練</w:t>
      </w:r>
    </w:p>
    <w:p w:rsidR="00CB2E69" w:rsidRPr="004936BF" w:rsidRDefault="00CB2E69" w:rsidP="00CB2E69">
      <w:pPr>
        <w:pStyle w:val="Default"/>
        <w:rPr>
          <w:rFonts w:eastAsia="標楷體"/>
        </w:rPr>
      </w:pPr>
      <w:r w:rsidRPr="004936BF">
        <w:rPr>
          <w:rFonts w:eastAsia="標楷體"/>
        </w:rPr>
        <w:t>一、目的：</w:t>
      </w:r>
    </w:p>
    <w:p w:rsidR="00CB2E69" w:rsidRPr="004936BF" w:rsidRDefault="00CB2E69" w:rsidP="00CB2E69">
      <w:pPr>
        <w:pStyle w:val="Default"/>
        <w:rPr>
          <w:rFonts w:eastAsia="標楷體"/>
        </w:rPr>
      </w:pPr>
      <w:r w:rsidRPr="004936BF">
        <w:rPr>
          <w:rFonts w:eastAsia="標楷體"/>
        </w:rPr>
        <w:t>為因應行政院推動新世代反毒策略，緩起訴</w:t>
      </w:r>
      <w:proofErr w:type="gramStart"/>
      <w:r w:rsidRPr="004936BF">
        <w:rPr>
          <w:rFonts w:eastAsia="標楷體"/>
        </w:rPr>
        <w:t>附命戒</w:t>
      </w:r>
      <w:proofErr w:type="gramEnd"/>
      <w:r w:rsidRPr="004936BF">
        <w:rPr>
          <w:rFonts w:eastAsia="標楷體"/>
        </w:rPr>
        <w:t>癮治療人數增加之趨勢，</w:t>
      </w:r>
      <w:proofErr w:type="gramStart"/>
      <w:r w:rsidRPr="004936BF">
        <w:rPr>
          <w:rFonts w:eastAsia="標楷體"/>
        </w:rPr>
        <w:t>為使藥癮</w:t>
      </w:r>
      <w:proofErr w:type="gramEnd"/>
      <w:r w:rsidRPr="004936BF">
        <w:rPr>
          <w:rFonts w:eastAsia="標楷體"/>
        </w:rPr>
        <w:t>者規律接受治療，成為專業人員之課題。本教育藉以培訓藥癮機構專業人員及</w:t>
      </w:r>
      <w:r>
        <w:rPr>
          <w:rFonts w:eastAsia="標楷體" w:hint="eastAsia"/>
        </w:rPr>
        <w:t>毒品</w:t>
      </w:r>
      <w:r>
        <w:rPr>
          <w:rFonts w:eastAsia="標楷體"/>
        </w:rPr>
        <w:t>網絡人員探討</w:t>
      </w:r>
      <w:r>
        <w:rPr>
          <w:rFonts w:eastAsia="標楷體" w:hint="eastAsia"/>
        </w:rPr>
        <w:t>替代療法</w:t>
      </w:r>
      <w:r w:rsidRPr="004936BF">
        <w:rPr>
          <w:rFonts w:eastAsia="標楷體"/>
        </w:rPr>
        <w:t>進階實務，宣導及推廣</w:t>
      </w:r>
      <w:proofErr w:type="gramStart"/>
      <w:r w:rsidRPr="004936BF">
        <w:rPr>
          <w:rFonts w:eastAsia="標楷體"/>
        </w:rPr>
        <w:t>藥癮防制</w:t>
      </w:r>
      <w:proofErr w:type="gramEnd"/>
      <w:r w:rsidRPr="004936BF">
        <w:rPr>
          <w:rFonts w:eastAsia="標楷體"/>
        </w:rPr>
        <w:t>及藥癮戒治之推動，並提升各相關人員的專業知能。</w:t>
      </w:r>
    </w:p>
    <w:p w:rsidR="00CB2E69" w:rsidRPr="004936BF" w:rsidRDefault="00CB2E69" w:rsidP="00CB2E69">
      <w:pPr>
        <w:pStyle w:val="Default"/>
        <w:rPr>
          <w:rFonts w:eastAsia="標楷體"/>
        </w:rPr>
      </w:pPr>
      <w:r w:rsidRPr="004936BF">
        <w:rPr>
          <w:rFonts w:eastAsia="標楷體"/>
        </w:rPr>
        <w:t>二、指導單位：衛生福利部</w:t>
      </w:r>
    </w:p>
    <w:p w:rsidR="00CB2E69" w:rsidRPr="004936BF" w:rsidRDefault="00CB2E69" w:rsidP="00CB2E69">
      <w:pPr>
        <w:pStyle w:val="Default"/>
        <w:rPr>
          <w:rFonts w:eastAsia="標楷體"/>
        </w:rPr>
      </w:pPr>
      <w:r>
        <w:rPr>
          <w:rFonts w:eastAsia="標楷體"/>
        </w:rPr>
        <w:t>三、主辦單位：</w:t>
      </w:r>
      <w:r>
        <w:rPr>
          <w:rFonts w:eastAsia="標楷體" w:hint="eastAsia"/>
        </w:rPr>
        <w:t>衛生</w:t>
      </w:r>
      <w:proofErr w:type="gramStart"/>
      <w:r>
        <w:rPr>
          <w:rFonts w:eastAsia="標楷體" w:hint="eastAsia"/>
        </w:rPr>
        <w:t>福利部玉里</w:t>
      </w:r>
      <w:proofErr w:type="gramEnd"/>
      <w:r>
        <w:rPr>
          <w:rFonts w:eastAsia="標楷體" w:hint="eastAsia"/>
        </w:rPr>
        <w:t>醫院</w:t>
      </w:r>
      <w:r>
        <w:rPr>
          <w:rFonts w:eastAsia="標楷體"/>
        </w:rPr>
        <w:t>、</w:t>
      </w:r>
      <w:r>
        <w:rPr>
          <w:rFonts w:eastAsia="標楷體" w:hint="eastAsia"/>
        </w:rPr>
        <w:t>花蓮縣衛生局</w:t>
      </w:r>
    </w:p>
    <w:p w:rsidR="00CB2E69" w:rsidRPr="004936BF" w:rsidRDefault="00CB2E69" w:rsidP="00CB2E69">
      <w:pPr>
        <w:pStyle w:val="Default"/>
        <w:rPr>
          <w:rFonts w:eastAsia="標楷體"/>
        </w:rPr>
      </w:pPr>
      <w:r w:rsidRPr="004936BF">
        <w:rPr>
          <w:rFonts w:eastAsia="標楷體"/>
        </w:rPr>
        <w:t>四、活動時間：</w:t>
      </w:r>
      <w:r>
        <w:rPr>
          <w:rFonts w:eastAsia="標楷體"/>
        </w:rPr>
        <w:t>11</w:t>
      </w:r>
      <w:r>
        <w:rPr>
          <w:rFonts w:eastAsia="標楷體" w:hint="eastAsia"/>
        </w:rPr>
        <w:t>1</w:t>
      </w:r>
      <w:r w:rsidRPr="004936BF">
        <w:rPr>
          <w:rFonts w:eastAsia="標楷體"/>
        </w:rPr>
        <w:t>年</w:t>
      </w:r>
      <w:r>
        <w:rPr>
          <w:rFonts w:eastAsia="標楷體" w:hint="eastAsia"/>
        </w:rPr>
        <w:t>5</w:t>
      </w:r>
      <w:r w:rsidRPr="004936BF">
        <w:rPr>
          <w:rFonts w:eastAsia="標楷體"/>
        </w:rPr>
        <w:t>月</w:t>
      </w:r>
      <w:r>
        <w:rPr>
          <w:rFonts w:eastAsia="標楷體" w:hint="eastAsia"/>
        </w:rPr>
        <w:t>27</w:t>
      </w:r>
      <w:r w:rsidRPr="004936BF">
        <w:rPr>
          <w:rFonts w:eastAsia="標楷體"/>
        </w:rPr>
        <w:t>日(</w:t>
      </w:r>
      <w:r>
        <w:rPr>
          <w:rFonts w:eastAsia="標楷體"/>
        </w:rPr>
        <w:t>星期</w:t>
      </w:r>
      <w:r>
        <w:rPr>
          <w:rFonts w:eastAsia="標楷體" w:hint="eastAsia"/>
        </w:rPr>
        <w:t>五</w:t>
      </w:r>
      <w:r w:rsidRPr="004936BF">
        <w:rPr>
          <w:rFonts w:eastAsia="標楷體"/>
        </w:rPr>
        <w:t>)上午8時至下午5時</w:t>
      </w:r>
      <w:r>
        <w:rPr>
          <w:rFonts w:eastAsia="標楷體" w:hint="eastAsia"/>
        </w:rPr>
        <w:t>30分</w:t>
      </w:r>
    </w:p>
    <w:p w:rsidR="00CB2E69" w:rsidRPr="004936BF" w:rsidRDefault="00CB2E69" w:rsidP="00CB2E69">
      <w:pPr>
        <w:pStyle w:val="Default"/>
        <w:rPr>
          <w:rFonts w:eastAsia="標楷體"/>
        </w:rPr>
      </w:pPr>
      <w:r w:rsidRPr="004936BF">
        <w:rPr>
          <w:rFonts w:eastAsia="標楷體"/>
        </w:rPr>
        <w:t>五、活動地點：</w:t>
      </w:r>
      <w:proofErr w:type="gramStart"/>
      <w:r>
        <w:rPr>
          <w:rFonts w:eastAsia="標楷體" w:hint="eastAsia"/>
        </w:rPr>
        <w:t>線上課程</w:t>
      </w:r>
      <w:proofErr w:type="gramEnd"/>
      <w:r w:rsidR="00B535C0">
        <w:rPr>
          <w:rFonts w:eastAsia="標楷體" w:hint="eastAsia"/>
        </w:rPr>
        <w:t>辦理</w:t>
      </w:r>
      <w:r w:rsidR="00333DF5">
        <w:rPr>
          <w:rFonts w:eastAsia="標楷體" w:hint="eastAsia"/>
        </w:rPr>
        <w:t xml:space="preserve"> </w:t>
      </w:r>
      <w:proofErr w:type="spellStart"/>
      <w:r w:rsidR="00333DF5">
        <w:rPr>
          <w:rFonts w:eastAsia="標楷體" w:hint="eastAsia"/>
        </w:rPr>
        <w:t>Goodel</w:t>
      </w:r>
      <w:proofErr w:type="spellEnd"/>
      <w:r w:rsidR="00333DF5">
        <w:rPr>
          <w:rFonts w:eastAsia="標楷體" w:hint="eastAsia"/>
        </w:rPr>
        <w:t xml:space="preserve"> Meet</w:t>
      </w:r>
    </w:p>
    <w:p w:rsidR="00CB2E69" w:rsidRPr="004936BF" w:rsidRDefault="00CB2E69" w:rsidP="00CB2E69">
      <w:pPr>
        <w:rPr>
          <w:rFonts w:ascii="標楷體" w:eastAsia="標楷體" w:hAnsi="標楷體"/>
        </w:rPr>
      </w:pPr>
      <w:r w:rsidRPr="004936BF">
        <w:rPr>
          <w:rFonts w:ascii="標楷體" w:eastAsia="標楷體" w:hAnsi="標楷體"/>
        </w:rPr>
        <w:t>六、參加對象：</w:t>
      </w:r>
    </w:p>
    <w:p w:rsidR="00CB2E69" w:rsidRPr="004936BF" w:rsidRDefault="00CB2E69" w:rsidP="00CB2E69">
      <w:pPr>
        <w:pStyle w:val="Default"/>
        <w:rPr>
          <w:rFonts w:eastAsia="標楷體"/>
        </w:rPr>
      </w:pPr>
      <w:r w:rsidRPr="004936BF">
        <w:rPr>
          <w:rFonts w:eastAsia="標楷體"/>
        </w:rPr>
        <w:t>(</w:t>
      </w:r>
      <w:proofErr w:type="gramStart"/>
      <w:r w:rsidRPr="004936BF">
        <w:rPr>
          <w:rFonts w:eastAsia="標楷體"/>
        </w:rPr>
        <w:t>一</w:t>
      </w:r>
      <w:proofErr w:type="gramEnd"/>
      <w:r w:rsidRPr="004936BF">
        <w:rPr>
          <w:rFonts w:eastAsia="標楷體"/>
        </w:rPr>
        <w:t>)醫療機構：</w:t>
      </w:r>
    </w:p>
    <w:p w:rsidR="00CB2E69" w:rsidRPr="004936BF" w:rsidRDefault="00CB2E69" w:rsidP="00CB2E69">
      <w:pPr>
        <w:pStyle w:val="Default"/>
        <w:rPr>
          <w:rFonts w:eastAsia="標楷體"/>
        </w:rPr>
      </w:pPr>
      <w:r w:rsidRPr="004936BF">
        <w:rPr>
          <w:rFonts w:eastAsia="標楷體"/>
        </w:rPr>
        <w:t>1.執行藥癮戒治醫療院所及診所之精神科專科醫師、藥師、護理人員、臨床心理師、職能治療人員及社會工作人員等相關人員。</w:t>
      </w:r>
    </w:p>
    <w:p w:rsidR="00CB2E69" w:rsidRPr="004936BF" w:rsidRDefault="00CB2E69" w:rsidP="00CB2E69">
      <w:pPr>
        <w:pStyle w:val="Default"/>
        <w:rPr>
          <w:rFonts w:eastAsia="標楷體"/>
        </w:rPr>
      </w:pPr>
      <w:r w:rsidRPr="004936BF">
        <w:rPr>
          <w:rFonts w:eastAsia="標楷體"/>
        </w:rPr>
        <w:t>2.若有意願成為</w:t>
      </w:r>
      <w:proofErr w:type="gramStart"/>
      <w:r w:rsidRPr="004936BF">
        <w:rPr>
          <w:rFonts w:eastAsia="標楷體"/>
        </w:rPr>
        <w:t>本市藥癮</w:t>
      </w:r>
      <w:proofErr w:type="gramEnd"/>
      <w:r w:rsidRPr="004936BF">
        <w:rPr>
          <w:rFonts w:eastAsia="標楷體"/>
        </w:rPr>
        <w:t>戒治機構或替代治療執行機構之醫院或診所者，上述相關人員務必參加。</w:t>
      </w:r>
    </w:p>
    <w:p w:rsidR="00CB2E69" w:rsidRDefault="00CB2E69" w:rsidP="00CB2E69">
      <w:pPr>
        <w:rPr>
          <w:rFonts w:ascii="標楷體" w:eastAsia="標楷體" w:hAnsi="標楷體"/>
        </w:rPr>
      </w:pPr>
      <w:r w:rsidRPr="004936BF">
        <w:rPr>
          <w:rFonts w:ascii="標楷體" w:eastAsia="標楷體" w:hAnsi="標楷體"/>
        </w:rPr>
        <w:t>(二)本市毒品危害防制中心網絡單位相關人員及工作人員</w:t>
      </w:r>
    </w:p>
    <w:p w:rsidR="00CB2E69" w:rsidRDefault="00CB2E69" w:rsidP="00CB2E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七、本活動相關學分申請：</w:t>
      </w:r>
    </w:p>
    <w:p w:rsidR="00CB2E69" w:rsidRDefault="00CB2E69" w:rsidP="00CB2E6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D5746">
        <w:rPr>
          <w:rFonts w:ascii="標楷體" w:eastAsia="標楷體" w:hAnsi="標楷體" w:hint="eastAsia"/>
        </w:rPr>
        <w:t>台灣精神醫學會</w:t>
      </w:r>
      <w:r>
        <w:rPr>
          <w:rFonts w:ascii="標楷體" w:eastAsia="標楷體" w:hAnsi="標楷體" w:hint="eastAsia"/>
        </w:rPr>
        <w:t>學分</w:t>
      </w:r>
    </w:p>
    <w:p w:rsidR="00CB2E69" w:rsidRDefault="00CB2E69" w:rsidP="00CB2E6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成癮醫學會學分</w:t>
      </w:r>
    </w:p>
    <w:p w:rsidR="00CB2E69" w:rsidRDefault="00CB2E69" w:rsidP="00CB2E6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中華民國護理師護士學會全國聯合會</w:t>
      </w:r>
    </w:p>
    <w:p w:rsidR="00CB2E69" w:rsidRDefault="00CB2E69" w:rsidP="00CB2E6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中華民國臨床心理師公會全國聯合會</w:t>
      </w:r>
    </w:p>
    <w:p w:rsidR="00CB2E69" w:rsidRDefault="00CB2E69" w:rsidP="00CB2E6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社團法人中華民國社會工作師公會全國聯合會</w:t>
      </w:r>
    </w:p>
    <w:p w:rsidR="00CB2E69" w:rsidRDefault="00CB2E69" w:rsidP="00CB2E6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社團法人中華民國職能治療師師公會全國聯合會</w:t>
      </w:r>
    </w:p>
    <w:p w:rsidR="00CB2E69" w:rsidRDefault="00CB2E69" w:rsidP="00CB2E6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衛生福利部成癮治療人力教育訓練認證時數證明</w:t>
      </w:r>
    </w:p>
    <w:p w:rsidR="00CB2E69" w:rsidRDefault="00CB2E69" w:rsidP="00CB2E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八、報名方式：</w:t>
      </w:r>
    </w:p>
    <w:p w:rsidR="00CB2E69" w:rsidRDefault="00CB2E69" w:rsidP="00CB2E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本課程一律</w:t>
      </w:r>
      <w:proofErr w:type="gramStart"/>
      <w:r>
        <w:rPr>
          <w:rFonts w:ascii="標楷體" w:eastAsia="標楷體" w:hAnsi="標楷體" w:hint="eastAsia"/>
        </w:rPr>
        <w:t>採線上</w:t>
      </w:r>
      <w:proofErr w:type="gramEnd"/>
      <w:r>
        <w:rPr>
          <w:rFonts w:ascii="標楷體" w:eastAsia="標楷體" w:hAnsi="標楷體" w:hint="eastAsia"/>
        </w:rPr>
        <w:t>報名，請務必於5月18日前</w:t>
      </w:r>
      <w:proofErr w:type="gramStart"/>
      <w:r>
        <w:rPr>
          <w:rFonts w:ascii="標楷體" w:eastAsia="標楷體" w:hAnsi="標楷體" w:hint="eastAsia"/>
        </w:rPr>
        <w:t>完成線上報名</w:t>
      </w:r>
      <w:proofErr w:type="gramEnd"/>
    </w:p>
    <w:p w:rsidR="00CB2E69" w:rsidRDefault="00CB2E69" w:rsidP="00CB2E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1.報名網址：</w:t>
      </w:r>
      <w:r w:rsidR="00B535C0" w:rsidRPr="00B535C0">
        <w:rPr>
          <w:rFonts w:ascii="標楷體" w:eastAsia="標楷體" w:hAnsi="標楷體"/>
        </w:rPr>
        <w:t>https://forms.gle/TrAWkS9XdmbQESUR9</w:t>
      </w:r>
    </w:p>
    <w:p w:rsidR="00CB2E69" w:rsidRDefault="00CB2E69" w:rsidP="00CB2E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2.業務聯絡方式： </w:t>
      </w:r>
    </w:p>
    <w:p w:rsidR="00CB2E69" w:rsidRDefault="00B535C0" w:rsidP="00CB2E69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74C045ED" wp14:editId="0F479AFF">
            <wp:simplePos x="0" y="0"/>
            <wp:positionH relativeFrom="column">
              <wp:posOffset>3457575</wp:posOffset>
            </wp:positionH>
            <wp:positionV relativeFrom="paragraph">
              <wp:posOffset>0</wp:posOffset>
            </wp:positionV>
            <wp:extent cx="1450975" cy="1438910"/>
            <wp:effectExtent l="0" t="0" r="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69">
        <w:rPr>
          <w:rFonts w:ascii="標楷體" w:eastAsia="標楷體" w:hAnsi="標楷體" w:hint="eastAsia"/>
        </w:rPr>
        <w:t>(1)電子信箱：</w:t>
      </w:r>
      <w:hyperlink r:id="rId6" w:history="1">
        <w:r w:rsidR="00CB2E69" w:rsidRPr="00A705CE">
          <w:rPr>
            <w:rStyle w:val="a5"/>
            <w:rFonts w:ascii="標楷體" w:eastAsia="標楷體" w:hAnsi="標楷體" w:hint="eastAsia"/>
          </w:rPr>
          <w:t>ylidcat@gmail.com</w:t>
        </w:r>
      </w:hyperlink>
    </w:p>
    <w:p w:rsidR="00CB2E69" w:rsidRDefault="00CB2E69" w:rsidP="00CB2E69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(2)聯絡電話：(03)8886141#1174</w:t>
      </w:r>
    </w:p>
    <w:p w:rsidR="00CB2E69" w:rsidRDefault="00CB2E69" w:rsidP="00CB2E69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聯絡人：劉子榮 個案管理師</w:t>
      </w:r>
    </w:p>
    <w:p w:rsidR="00CB2E69" w:rsidRDefault="00B535C0" w:rsidP="00B535C0">
      <w:pPr>
        <w:rPr>
          <w:rFonts w:ascii="標楷體" w:eastAsia="標楷體" w:hAnsi="標楷體"/>
        </w:rPr>
      </w:pPr>
      <w:r w:rsidRPr="00B535C0">
        <w:rPr>
          <w:rFonts w:ascii="標楷體" w:eastAsia="標楷體" w:hAnsi="標楷體" w:hint="eastAsia"/>
        </w:rPr>
        <w:t>3.報名完成會寄電子信箱通知及線上課程須知</w:t>
      </w:r>
    </w:p>
    <w:p w:rsidR="00CB2E69" w:rsidRDefault="00CB2E69" w:rsidP="00CB2E69">
      <w:pPr>
        <w:ind w:leftChars="100" w:left="240"/>
        <w:rPr>
          <w:rFonts w:ascii="標楷體" w:eastAsia="標楷體" w:hAnsi="標楷體"/>
        </w:rPr>
      </w:pPr>
    </w:p>
    <w:p w:rsidR="00CB2E69" w:rsidRDefault="00CB2E69" w:rsidP="00CB2E69">
      <w:pPr>
        <w:ind w:leftChars="100" w:left="240"/>
        <w:rPr>
          <w:rFonts w:ascii="標楷體" w:eastAsia="標楷體" w:hAnsi="標楷體"/>
        </w:rPr>
      </w:pPr>
    </w:p>
    <w:p w:rsidR="00CB2E69" w:rsidRDefault="00CB2E69" w:rsidP="00CB2E69">
      <w:pPr>
        <w:ind w:leftChars="100" w:left="240"/>
        <w:rPr>
          <w:rFonts w:ascii="標楷體" w:eastAsia="標楷體" w:hAnsi="標楷體"/>
        </w:rPr>
      </w:pPr>
    </w:p>
    <w:p w:rsidR="00CB2E69" w:rsidRPr="000D5746" w:rsidRDefault="00CB2E69" w:rsidP="00CB2E69">
      <w:pPr>
        <w:ind w:leftChars="100" w:left="240"/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margin" w:tblpY="526"/>
        <w:tblW w:w="0" w:type="auto"/>
        <w:tblLook w:val="04A0" w:firstRow="1" w:lastRow="0" w:firstColumn="1" w:lastColumn="0" w:noHBand="0" w:noVBand="1"/>
      </w:tblPr>
      <w:tblGrid>
        <w:gridCol w:w="1530"/>
        <w:gridCol w:w="2518"/>
        <w:gridCol w:w="2248"/>
        <w:gridCol w:w="2000"/>
      </w:tblGrid>
      <w:tr w:rsidR="00CB2E69" w:rsidRPr="004936BF" w:rsidTr="00CB2E69">
        <w:tc>
          <w:tcPr>
            <w:tcW w:w="1536" w:type="dxa"/>
          </w:tcPr>
          <w:p w:rsidR="00CB2E69" w:rsidRPr="004936BF" w:rsidRDefault="00CB2E69" w:rsidP="00CB2E69">
            <w:pPr>
              <w:rPr>
                <w:rFonts w:ascii="標楷體" w:eastAsia="標楷體" w:hAnsi="標楷體"/>
              </w:rPr>
            </w:pPr>
            <w:r w:rsidRPr="004936BF">
              <w:rPr>
                <w:rFonts w:ascii="標楷體" w:eastAsia="標楷體" w:hAnsi="標楷體" w:hint="eastAsia"/>
              </w:rPr>
              <w:lastRenderedPageBreak/>
              <w:t>時間</w:t>
            </w:r>
          </w:p>
        </w:tc>
        <w:tc>
          <w:tcPr>
            <w:tcW w:w="2541" w:type="dxa"/>
          </w:tcPr>
          <w:p w:rsidR="00CB2E69" w:rsidRPr="004936BF" w:rsidRDefault="00CB2E69" w:rsidP="00CB2E69">
            <w:pPr>
              <w:rPr>
                <w:rFonts w:ascii="標楷體" w:eastAsia="標楷體" w:hAnsi="標楷體"/>
              </w:rPr>
            </w:pPr>
            <w:r w:rsidRPr="004936BF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268" w:type="dxa"/>
          </w:tcPr>
          <w:p w:rsidR="00CB2E69" w:rsidRPr="004936BF" w:rsidRDefault="00CB2E69" w:rsidP="00CB2E69">
            <w:pPr>
              <w:rPr>
                <w:rFonts w:ascii="標楷體" w:eastAsia="標楷體" w:hAnsi="標楷體"/>
              </w:rPr>
            </w:pPr>
            <w:r w:rsidRPr="004936BF"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2017" w:type="dxa"/>
          </w:tcPr>
          <w:p w:rsidR="00CB2E69" w:rsidRPr="004936BF" w:rsidRDefault="00CB2E69" w:rsidP="00CB2E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/>
              </w:rPr>
              <w:t>8:00-8:20</w:t>
            </w:r>
          </w:p>
        </w:tc>
        <w:tc>
          <w:tcPr>
            <w:tcW w:w="6826" w:type="dxa"/>
            <w:gridSpan w:val="3"/>
          </w:tcPr>
          <w:p w:rsidR="00CB2E69" w:rsidRPr="004936BF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4936BF">
              <w:rPr>
                <w:rFonts w:ascii="標楷體" w:eastAsia="標楷體" w:hAnsi="標楷體" w:hint="eastAsia"/>
              </w:rPr>
              <w:t>報到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/>
              </w:rPr>
              <w:t>8:20-8:30</w:t>
            </w:r>
          </w:p>
        </w:tc>
        <w:tc>
          <w:tcPr>
            <w:tcW w:w="4809" w:type="dxa"/>
            <w:gridSpan w:val="2"/>
            <w:vAlign w:val="center"/>
          </w:tcPr>
          <w:p w:rsidR="00CB2E69" w:rsidRPr="004936BF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4936BF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017" w:type="dxa"/>
            <w:vAlign w:val="center"/>
          </w:tcPr>
          <w:p w:rsidR="00CB2E69" w:rsidRPr="004936BF" w:rsidRDefault="00CB2E69" w:rsidP="00CB2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王作仁 院長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 w:hint="eastAsia"/>
              </w:rPr>
              <w:t>8:30-9:20</w:t>
            </w:r>
          </w:p>
        </w:tc>
        <w:tc>
          <w:tcPr>
            <w:tcW w:w="2541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EC1B17">
              <w:rPr>
                <w:rFonts w:ascii="標楷體" w:eastAsia="標楷體" w:hAnsi="標楷體" w:hint="eastAsia"/>
              </w:rPr>
              <w:t>藥癮與司法處遇</w:t>
            </w:r>
          </w:p>
        </w:tc>
        <w:tc>
          <w:tcPr>
            <w:tcW w:w="2268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EC1B17">
              <w:rPr>
                <w:rFonts w:ascii="標楷體" w:eastAsia="標楷體" w:hAnsi="標楷體" w:hint="eastAsia"/>
              </w:rPr>
              <w:t>張立中 主任檢察官</w:t>
            </w:r>
          </w:p>
        </w:tc>
        <w:tc>
          <w:tcPr>
            <w:tcW w:w="2017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彭祈</w:t>
            </w:r>
            <w:proofErr w:type="gramEnd"/>
            <w:r>
              <w:rPr>
                <w:rFonts w:ascii="標楷體" w:eastAsia="標楷體" w:hAnsi="標楷體" w:hint="eastAsia"/>
              </w:rPr>
              <w:t>龍 執行長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 w:hint="eastAsia"/>
              </w:rPr>
              <w:t>9:20-10:10</w:t>
            </w:r>
          </w:p>
        </w:tc>
        <w:tc>
          <w:tcPr>
            <w:tcW w:w="2541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EC1B17">
              <w:rPr>
                <w:rFonts w:ascii="標楷體" w:eastAsia="標楷體" w:hAnsi="標楷體" w:hint="eastAsia"/>
              </w:rPr>
              <w:t>替代療法藥物介紹</w:t>
            </w:r>
          </w:p>
        </w:tc>
        <w:tc>
          <w:tcPr>
            <w:tcW w:w="2268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EC1B17">
              <w:rPr>
                <w:rFonts w:ascii="標楷體" w:eastAsia="標楷體" w:hAnsi="標楷體" w:hint="eastAsia"/>
              </w:rPr>
              <w:t>吳秋慧 藥師</w:t>
            </w:r>
          </w:p>
        </w:tc>
        <w:tc>
          <w:tcPr>
            <w:tcW w:w="2017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徐麗雯 督導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 w:hint="eastAsia"/>
              </w:rPr>
              <w:t>10:10-10:20</w:t>
            </w:r>
          </w:p>
        </w:tc>
        <w:tc>
          <w:tcPr>
            <w:tcW w:w="6826" w:type="dxa"/>
            <w:gridSpan w:val="3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EC1B17">
              <w:rPr>
                <w:rFonts w:ascii="標楷體" w:eastAsia="標楷體" w:hAnsi="標楷體" w:hint="eastAsia"/>
              </w:rPr>
              <w:t>休息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2541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藥愛議題</w:t>
            </w:r>
            <w:proofErr w:type="gramEnd"/>
            <w:r>
              <w:rPr>
                <w:rFonts w:ascii="標楷體" w:eastAsia="標楷體" w:hAnsi="標楷體" w:hint="eastAsia"/>
              </w:rPr>
              <w:t>與因應策略</w:t>
            </w:r>
          </w:p>
        </w:tc>
        <w:tc>
          <w:tcPr>
            <w:tcW w:w="2268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徐森杰  副執行長</w:t>
            </w:r>
          </w:p>
        </w:tc>
        <w:tc>
          <w:tcPr>
            <w:tcW w:w="2017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B2E69">
              <w:rPr>
                <w:rFonts w:ascii="標楷體" w:eastAsia="標楷體" w:hAnsi="標楷體" w:hint="eastAsia"/>
              </w:rPr>
              <w:t>彭祈</w:t>
            </w:r>
            <w:proofErr w:type="gramEnd"/>
            <w:r w:rsidRPr="00CB2E69">
              <w:rPr>
                <w:rFonts w:ascii="標楷體" w:eastAsia="標楷體" w:hAnsi="標楷體" w:hint="eastAsia"/>
              </w:rPr>
              <w:t>龍 執行長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</w:t>
            </w:r>
            <w:r w:rsidRPr="00E20FAE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6826" w:type="dxa"/>
            <w:gridSpan w:val="3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EC1B17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/>
              </w:rPr>
              <w:t>13:00-14:40</w:t>
            </w:r>
          </w:p>
        </w:tc>
        <w:tc>
          <w:tcPr>
            <w:tcW w:w="2541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EC1B17">
              <w:rPr>
                <w:rFonts w:ascii="標楷體" w:eastAsia="標楷體" w:hAnsi="標楷體" w:hint="eastAsia"/>
              </w:rPr>
              <w:t>替代療法心理處遇</w:t>
            </w:r>
          </w:p>
        </w:tc>
        <w:tc>
          <w:tcPr>
            <w:tcW w:w="2268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1B17">
              <w:rPr>
                <w:rFonts w:ascii="標楷體" w:eastAsia="標楷體" w:hAnsi="標楷體" w:hint="eastAsia"/>
              </w:rPr>
              <w:t>黎士鳴</w:t>
            </w:r>
            <w:proofErr w:type="gramEnd"/>
            <w:r w:rsidRPr="00EC1B17">
              <w:rPr>
                <w:rFonts w:ascii="標楷體" w:eastAsia="標楷體" w:hAnsi="標楷體" w:hint="eastAsia"/>
              </w:rPr>
              <w:t xml:space="preserve"> 臨床心理師</w:t>
            </w:r>
          </w:p>
        </w:tc>
        <w:tc>
          <w:tcPr>
            <w:tcW w:w="2017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陳興剛  主任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/>
              </w:rPr>
              <w:t>14:40-15:00</w:t>
            </w:r>
          </w:p>
        </w:tc>
        <w:tc>
          <w:tcPr>
            <w:tcW w:w="6826" w:type="dxa"/>
            <w:gridSpan w:val="3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EC1B17">
              <w:rPr>
                <w:rFonts w:ascii="標楷體" w:eastAsia="標楷體" w:hAnsi="標楷體" w:hint="eastAsia"/>
              </w:rPr>
              <w:t>休息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/>
              </w:rPr>
              <w:t>15:00-16:40</w:t>
            </w:r>
          </w:p>
        </w:tc>
        <w:tc>
          <w:tcPr>
            <w:tcW w:w="2541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EC1B17">
              <w:rPr>
                <w:rFonts w:ascii="標楷體" w:eastAsia="標楷體" w:hAnsi="標楷體" w:hint="eastAsia"/>
              </w:rPr>
              <w:t>一級個案</w:t>
            </w:r>
            <w:proofErr w:type="gramStart"/>
            <w:r w:rsidRPr="00EC1B17">
              <w:rPr>
                <w:rFonts w:ascii="標楷體" w:eastAsia="標楷體" w:hAnsi="標楷體" w:hint="eastAsia"/>
              </w:rPr>
              <w:t>戒癮處遇</w:t>
            </w:r>
            <w:proofErr w:type="gramEnd"/>
          </w:p>
        </w:tc>
        <w:tc>
          <w:tcPr>
            <w:tcW w:w="2268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EC1B17">
              <w:rPr>
                <w:rFonts w:ascii="標楷體" w:eastAsia="標楷體" w:hAnsi="標楷體" w:hint="eastAsia"/>
              </w:rPr>
              <w:t>陳紹基 醫師</w:t>
            </w:r>
          </w:p>
        </w:tc>
        <w:tc>
          <w:tcPr>
            <w:tcW w:w="2017" w:type="dxa"/>
            <w:vAlign w:val="center"/>
          </w:tcPr>
          <w:p w:rsidR="00CB2E69" w:rsidRPr="00EC1B17" w:rsidRDefault="00CB2E69" w:rsidP="00CB2E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B2E69">
              <w:rPr>
                <w:rFonts w:ascii="標楷體" w:eastAsia="標楷體" w:hAnsi="標楷體" w:hint="eastAsia"/>
              </w:rPr>
              <w:t>彭祈</w:t>
            </w:r>
            <w:proofErr w:type="gramEnd"/>
            <w:r w:rsidRPr="00CB2E69">
              <w:rPr>
                <w:rFonts w:ascii="標楷體" w:eastAsia="標楷體" w:hAnsi="標楷體" w:hint="eastAsia"/>
              </w:rPr>
              <w:t>龍 執行長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/>
              </w:rPr>
              <w:t>16:40-17:00</w:t>
            </w:r>
          </w:p>
        </w:tc>
        <w:tc>
          <w:tcPr>
            <w:tcW w:w="6826" w:type="dxa"/>
            <w:gridSpan w:val="3"/>
            <w:vAlign w:val="center"/>
          </w:tcPr>
          <w:p w:rsidR="00CB2E69" w:rsidRDefault="00CB2E69" w:rsidP="00CB2E69">
            <w:pPr>
              <w:jc w:val="center"/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 w:hint="eastAsia"/>
              </w:rPr>
              <w:t>問題與討論</w:t>
            </w:r>
          </w:p>
        </w:tc>
      </w:tr>
      <w:tr w:rsidR="00CB2E69" w:rsidRPr="004936BF" w:rsidTr="00CB2E69">
        <w:tc>
          <w:tcPr>
            <w:tcW w:w="1536" w:type="dxa"/>
          </w:tcPr>
          <w:p w:rsidR="00CB2E69" w:rsidRPr="00E20FAE" w:rsidRDefault="00CB2E69" w:rsidP="00CB2E69">
            <w:pPr>
              <w:rPr>
                <w:rFonts w:ascii="標楷體" w:eastAsia="標楷體" w:hAnsi="標楷體"/>
              </w:rPr>
            </w:pPr>
            <w:r w:rsidRPr="00E20FAE">
              <w:rPr>
                <w:rFonts w:ascii="標楷體" w:eastAsia="標楷體" w:hAnsi="標楷體"/>
              </w:rPr>
              <w:t>17:00~</w:t>
            </w:r>
          </w:p>
        </w:tc>
        <w:tc>
          <w:tcPr>
            <w:tcW w:w="6826" w:type="dxa"/>
            <w:gridSpan w:val="3"/>
          </w:tcPr>
          <w:p w:rsidR="00CB2E69" w:rsidRDefault="00CB2E69" w:rsidP="00CB2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CB2E69" w:rsidRDefault="00CB2E69" w:rsidP="00CB2E69">
      <w:pPr>
        <w:rPr>
          <w:rFonts w:ascii="標楷體" w:eastAsia="標楷體" w:hAnsi="標楷體"/>
        </w:rPr>
      </w:pPr>
    </w:p>
    <w:p w:rsidR="00CB2E69" w:rsidRDefault="00CB2E69" w:rsidP="00CB2E69">
      <w:pPr>
        <w:rPr>
          <w:rFonts w:ascii="標楷體" w:eastAsia="標楷體" w:hAnsi="標楷體"/>
        </w:rPr>
      </w:pPr>
    </w:p>
    <w:p w:rsidR="00CB2E69" w:rsidRPr="008D5FDC" w:rsidRDefault="00CB2E69" w:rsidP="00CB2E69">
      <w:pPr>
        <w:rPr>
          <w:rFonts w:ascii="標楷體" w:eastAsia="標楷體" w:hAnsi="標楷體"/>
        </w:rPr>
      </w:pPr>
    </w:p>
    <w:p w:rsidR="00680101" w:rsidRDefault="00680101"/>
    <w:sectPr w:rsidR="00680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B7A"/>
    <w:multiLevelType w:val="hybridMultilevel"/>
    <w:tmpl w:val="65549E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69"/>
    <w:rsid w:val="00333DF5"/>
    <w:rsid w:val="00680101"/>
    <w:rsid w:val="007C4090"/>
    <w:rsid w:val="00B535C0"/>
    <w:rsid w:val="00CB2E69"/>
    <w:rsid w:val="00D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8FE413-BB26-4D6C-BACD-1B20C1E2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E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B2E69"/>
    <w:pPr>
      <w:ind w:leftChars="200" w:left="480"/>
    </w:pPr>
  </w:style>
  <w:style w:type="character" w:styleId="a5">
    <w:name w:val="Hyperlink"/>
    <w:basedOn w:val="a0"/>
    <w:uiPriority w:val="99"/>
    <w:unhideWhenUsed/>
    <w:rsid w:val="00CB2E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535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dc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san-Yuan Huang</cp:lastModifiedBy>
  <cp:revision>2</cp:revision>
  <cp:lastPrinted>2022-04-22T09:05:00Z</cp:lastPrinted>
  <dcterms:created xsi:type="dcterms:W3CDTF">2022-04-25T06:50:00Z</dcterms:created>
  <dcterms:modified xsi:type="dcterms:W3CDTF">2022-04-25T06:50:00Z</dcterms:modified>
</cp:coreProperties>
</file>