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CD" w:rsidRPr="00022043" w:rsidRDefault="009624CD" w:rsidP="009624CD">
      <w:pPr>
        <w:jc w:val="center"/>
        <w:rPr>
          <w:rFonts w:ascii="Cambria" w:eastAsia="標楷體" w:hAnsi="Cambria"/>
        </w:rPr>
      </w:pPr>
      <w:bookmarkStart w:id="0" w:name="_GoBack"/>
      <w:bookmarkEnd w:id="0"/>
      <w:r w:rsidRPr="00022043">
        <w:rPr>
          <w:rFonts w:ascii="Cambria" w:eastAsia="標楷體" w:hAnsi="Cambria" w:cs="Cambria"/>
          <w:b/>
          <w:bCs/>
          <w:sz w:val="40"/>
          <w:szCs w:val="40"/>
        </w:rPr>
        <w:t>11</w:t>
      </w:r>
      <w:r>
        <w:rPr>
          <w:rFonts w:ascii="Cambria" w:eastAsia="標楷體" w:hAnsi="Cambria" w:cs="Cambria" w:hint="eastAsia"/>
          <w:b/>
          <w:bCs/>
          <w:sz w:val="40"/>
          <w:szCs w:val="40"/>
        </w:rPr>
        <w:t>2</w:t>
      </w:r>
      <w:r w:rsidRPr="00022043">
        <w:rPr>
          <w:rFonts w:ascii="Cambria" w:eastAsia="標楷體" w:hAnsi="Cambria" w:cs="標楷體"/>
          <w:b/>
          <w:bCs/>
          <w:sz w:val="40"/>
          <w:szCs w:val="40"/>
        </w:rPr>
        <w:t>年度</w:t>
      </w:r>
      <w:bookmarkStart w:id="1" w:name="_Hlk82020853"/>
      <w:r w:rsidRPr="00022043">
        <w:rPr>
          <w:rFonts w:ascii="Cambria" w:eastAsia="標楷體" w:hAnsi="Cambria" w:cs="標楷體"/>
          <w:b/>
          <w:bCs/>
          <w:sz w:val="40"/>
          <w:szCs w:val="40"/>
        </w:rPr>
        <w:t>藥癮戒治人員繼續教育訓練課程</w:t>
      </w:r>
    </w:p>
    <w:bookmarkEnd w:id="1"/>
    <w:p w:rsidR="009624CD" w:rsidRPr="00FC2EE2" w:rsidRDefault="009624CD" w:rsidP="009624CD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Cambria" w:eastAsia="標楷體" w:hAnsi="Cambria"/>
          <w:b/>
          <w:sz w:val="26"/>
          <w:szCs w:val="26"/>
        </w:rPr>
      </w:pPr>
      <w:r w:rsidRPr="00EA1E9C">
        <w:rPr>
          <w:rFonts w:ascii="Cambria" w:eastAsia="標楷體" w:hAnsi="Cambria" w:cs="Cambria"/>
          <w:b/>
          <w:sz w:val="26"/>
          <w:szCs w:val="26"/>
        </w:rPr>
        <w:t>課程內容</w:t>
      </w:r>
      <w:r w:rsidRPr="00EA1E9C">
        <w:rPr>
          <w:rFonts w:ascii="Cambria" w:eastAsia="標楷體" w:hAnsi="Cambria" w:cs="Cambria"/>
          <w:b/>
          <w:color w:val="000000"/>
          <w:sz w:val="26"/>
          <w:szCs w:val="26"/>
        </w:rPr>
        <w:t>：</w:t>
      </w:r>
    </w:p>
    <w:tbl>
      <w:tblPr>
        <w:tblW w:w="9923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3260"/>
        <w:gridCol w:w="851"/>
      </w:tblGrid>
      <w:tr w:rsidR="009624CD" w:rsidRPr="00FC2EE2" w:rsidTr="007203A1">
        <w:trPr>
          <w:cantSplit/>
          <w:trHeight w:val="454"/>
          <w:tblHeader/>
        </w:trPr>
        <w:tc>
          <w:tcPr>
            <w:tcW w:w="1985" w:type="dxa"/>
            <w:shd w:val="clear" w:color="auto" w:fill="D0CECE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kern w:val="0"/>
                <w:sz w:val="28"/>
                <w:szCs w:val="28"/>
              </w:rPr>
              <w:t>時間</w:t>
            </w:r>
          </w:p>
        </w:tc>
        <w:tc>
          <w:tcPr>
            <w:tcW w:w="3827" w:type="dxa"/>
            <w:shd w:val="clear" w:color="auto" w:fill="D0CECE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kern w:val="0"/>
                <w:sz w:val="28"/>
                <w:szCs w:val="28"/>
              </w:rPr>
              <w:t>主題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kern w:val="0"/>
                <w:sz w:val="28"/>
                <w:szCs w:val="28"/>
              </w:rPr>
              <w:t>講師</w:t>
            </w:r>
          </w:p>
        </w:tc>
        <w:tc>
          <w:tcPr>
            <w:tcW w:w="851" w:type="dxa"/>
            <w:shd w:val="clear" w:color="auto" w:fill="D0CECE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kern w:val="0"/>
                <w:sz w:val="28"/>
                <w:szCs w:val="28"/>
              </w:rPr>
              <w:t>節數</w:t>
            </w:r>
          </w:p>
        </w:tc>
      </w:tr>
      <w:tr w:rsidR="009624CD" w:rsidRPr="00FC2EE2" w:rsidTr="007203A1">
        <w:trPr>
          <w:cantSplit/>
          <w:trHeight w:val="454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00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8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938" w:type="dxa"/>
            <w:gridSpan w:val="3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9624CD" w:rsidRPr="00FC2EE2" w:rsidTr="007203A1">
        <w:trPr>
          <w:cantSplit/>
          <w:trHeight w:val="454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8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30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08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938" w:type="dxa"/>
            <w:gridSpan w:val="3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B211BA">
              <w:rPr>
                <w:rFonts w:ascii="標楷體" w:eastAsia="標楷體" w:hAnsi="標楷體" w:cs="新細明體" w:hint="eastAsia"/>
                <w:color w:val="000000"/>
                <w:kern w:val="0"/>
              </w:rPr>
              <w:t>長官致詞</w:t>
            </w:r>
          </w:p>
        </w:tc>
      </w:tr>
      <w:tr w:rsidR="009624CD" w:rsidRPr="00FC2EE2" w:rsidTr="007203A1">
        <w:trPr>
          <w:cantSplit/>
          <w:trHeight w:val="1390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08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40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-10: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624CD" w:rsidRDefault="009624CD" w:rsidP="007203A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成癮專業人員執行</w:t>
            </w:r>
          </w:p>
          <w:p w:rsidR="009624CD" w:rsidRPr="009E6831" w:rsidRDefault="009624CD" w:rsidP="007203A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藥癮者C肝共病防治經驗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CD" w:rsidRDefault="009624CD" w:rsidP="007203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731D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長庚醫療財團法人高雄長庚紀念醫院精神部</w:t>
            </w:r>
          </w:p>
          <w:p w:rsidR="009624CD" w:rsidRPr="009E6831" w:rsidRDefault="009624CD" w:rsidP="007203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731D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蔡孟璋醫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師</w:t>
            </w:r>
          </w:p>
        </w:tc>
        <w:tc>
          <w:tcPr>
            <w:tcW w:w="851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624CD" w:rsidRPr="00FC2EE2" w:rsidTr="007203A1">
        <w:trPr>
          <w:cantSplit/>
          <w:trHeight w:val="454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10:10-10:20</w:t>
            </w:r>
          </w:p>
        </w:tc>
        <w:tc>
          <w:tcPr>
            <w:tcW w:w="7938" w:type="dxa"/>
            <w:gridSpan w:val="3"/>
            <w:vAlign w:val="center"/>
          </w:tcPr>
          <w:p w:rsidR="009624CD" w:rsidRPr="00A731DD" w:rsidRDefault="009624CD" w:rsidP="007203A1">
            <w:pPr>
              <w:spacing w:line="400" w:lineRule="exact"/>
              <w:jc w:val="center"/>
              <w:rPr>
                <w:rFonts w:ascii="Cambria" w:eastAsia="標楷體" w:hAnsi="Cambria" w:cs="標楷體"/>
                <w:sz w:val="26"/>
                <w:szCs w:val="26"/>
              </w:rPr>
            </w:pPr>
            <w:r w:rsidRPr="00A731DD">
              <w:rPr>
                <w:rFonts w:ascii="Cambria" w:eastAsia="標楷體" w:hAnsi="Cambria" w:cs="標楷體" w:hint="eastAsia"/>
                <w:sz w:val="26"/>
                <w:szCs w:val="26"/>
              </w:rPr>
              <w:t>休息</w:t>
            </w:r>
          </w:p>
        </w:tc>
      </w:tr>
      <w:tr w:rsidR="009624CD" w:rsidRPr="00FC2EE2" w:rsidTr="007203A1">
        <w:trPr>
          <w:cantSplit/>
          <w:trHeight w:val="949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5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624CD" w:rsidRDefault="009624CD" w:rsidP="007203A1">
            <w:pPr>
              <w:spacing w:line="400" w:lineRule="exact"/>
              <w:jc w:val="center"/>
              <w:rPr>
                <w:rFonts w:ascii="Cambria" w:eastAsia="標楷體" w:hAnsi="Cambria" w:cs="標楷體"/>
                <w:sz w:val="26"/>
                <w:szCs w:val="26"/>
              </w:rPr>
            </w:pPr>
            <w:r w:rsidRPr="00A731DD">
              <w:rPr>
                <w:rFonts w:ascii="Cambria" w:eastAsia="標楷體" w:hAnsi="Cambria" w:cs="標楷體"/>
                <w:sz w:val="26"/>
                <w:szCs w:val="26"/>
              </w:rPr>
              <w:t>矯正機關藥癮工作模式</w:t>
            </w:r>
          </w:p>
          <w:p w:rsidR="009624CD" w:rsidRPr="00A731DD" w:rsidRDefault="009624CD" w:rsidP="007203A1">
            <w:pPr>
              <w:spacing w:line="400" w:lineRule="exact"/>
              <w:jc w:val="center"/>
              <w:rPr>
                <w:rFonts w:ascii="Cambria" w:eastAsia="標楷體" w:hAnsi="Cambria" w:cs="標楷體"/>
                <w:sz w:val="26"/>
                <w:szCs w:val="26"/>
              </w:rPr>
            </w:pPr>
            <w:r w:rsidRPr="00A731DD">
              <w:rPr>
                <w:rFonts w:ascii="Cambria" w:eastAsia="標楷體" w:hAnsi="Cambria" w:cs="標楷體"/>
                <w:sz w:val="26"/>
                <w:szCs w:val="26"/>
              </w:rPr>
              <w:t>-</w:t>
            </w:r>
            <w:r w:rsidRPr="00A731DD">
              <w:rPr>
                <w:rFonts w:ascii="Cambria" w:eastAsia="標楷體" w:hAnsi="Cambria" w:cs="標楷體"/>
                <w:sz w:val="26"/>
                <w:szCs w:val="26"/>
              </w:rPr>
              <w:t>科學實證下的發展軌跡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CD" w:rsidRPr="00A731DD" w:rsidRDefault="009624CD" w:rsidP="007203A1">
            <w:pPr>
              <w:spacing w:line="400" w:lineRule="exact"/>
              <w:jc w:val="center"/>
              <w:rPr>
                <w:rFonts w:ascii="Cambria" w:eastAsia="標楷體" w:hAnsi="Cambria" w:cs="標楷體"/>
                <w:sz w:val="26"/>
                <w:szCs w:val="26"/>
              </w:rPr>
            </w:pPr>
            <w:r w:rsidRPr="00A731DD">
              <w:rPr>
                <w:rFonts w:ascii="Cambria" w:eastAsia="標楷體" w:hAnsi="Cambria" w:cs="標楷體" w:hint="eastAsia"/>
                <w:sz w:val="26"/>
                <w:szCs w:val="26"/>
              </w:rPr>
              <w:t>法務部矯正署高雄戒治所</w:t>
            </w:r>
            <w:r w:rsidRPr="00A731DD">
              <w:rPr>
                <w:rFonts w:ascii="Cambria" w:eastAsia="標楷體" w:hAnsi="Cambria" w:cs="標楷體"/>
                <w:sz w:val="26"/>
                <w:szCs w:val="26"/>
              </w:rPr>
              <w:t>蔡震邦</w:t>
            </w:r>
            <w:r w:rsidRPr="00A731DD">
              <w:rPr>
                <w:rFonts w:ascii="Cambria" w:eastAsia="標楷體" w:hAnsi="Cambria" w:cs="標楷體"/>
                <w:sz w:val="26"/>
                <w:szCs w:val="26"/>
              </w:rPr>
              <w:t xml:space="preserve"> </w:t>
            </w:r>
            <w:r w:rsidRPr="00A731DD">
              <w:rPr>
                <w:rFonts w:ascii="Cambria" w:eastAsia="標楷體" w:hAnsi="Cambria" w:cs="標楷體"/>
                <w:sz w:val="26"/>
                <w:szCs w:val="26"/>
              </w:rPr>
              <w:t>臨床心理師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624CD" w:rsidRPr="00FC2EE2" w:rsidTr="007203A1">
        <w:trPr>
          <w:cantSplit/>
          <w:trHeight w:val="454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5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0-13: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3"/>
            <w:vAlign w:val="center"/>
          </w:tcPr>
          <w:p w:rsidR="009624CD" w:rsidRPr="00A731DD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6"/>
                <w:szCs w:val="26"/>
              </w:rPr>
            </w:pPr>
            <w:r w:rsidRPr="00A731DD">
              <w:rPr>
                <w:rFonts w:ascii="Cambria" w:eastAsia="標楷體" w:hAnsi="Cambria" w:hint="eastAsia"/>
                <w:iCs/>
                <w:color w:val="000000"/>
                <w:kern w:val="0"/>
                <w:sz w:val="26"/>
                <w:szCs w:val="26"/>
              </w:rPr>
              <w:t>中午</w:t>
            </w:r>
            <w:r w:rsidRPr="00A731DD">
              <w:rPr>
                <w:rFonts w:ascii="Cambria" w:eastAsia="標楷體" w:hAnsi="Cambria"/>
                <w:iCs/>
                <w:color w:val="000000"/>
                <w:kern w:val="0"/>
                <w:sz w:val="26"/>
                <w:szCs w:val="26"/>
              </w:rPr>
              <w:t>休息</w:t>
            </w:r>
            <w:r w:rsidRPr="00A731DD">
              <w:rPr>
                <w:rFonts w:ascii="Cambria" w:eastAsia="標楷體" w:hAnsi="Cambria" w:hint="eastAsia"/>
                <w:iCs/>
                <w:color w:val="000000"/>
                <w:kern w:val="0"/>
                <w:sz w:val="26"/>
                <w:szCs w:val="26"/>
              </w:rPr>
              <w:t>時間</w:t>
            </w:r>
          </w:p>
        </w:tc>
      </w:tr>
      <w:tr w:rsidR="009624CD" w:rsidRPr="00FC2EE2" w:rsidTr="007203A1">
        <w:trPr>
          <w:cantSplit/>
          <w:trHeight w:val="941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13: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30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5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624CD" w:rsidRDefault="009624CD" w:rsidP="007203A1">
            <w:pPr>
              <w:spacing w:line="400" w:lineRule="exact"/>
              <w:jc w:val="center"/>
              <w:rPr>
                <w:rFonts w:ascii="Cambria" w:eastAsia="標楷體" w:hAnsi="Cambria" w:cs="標楷體"/>
                <w:sz w:val="26"/>
                <w:szCs w:val="26"/>
              </w:rPr>
            </w:pPr>
            <w:r w:rsidRPr="00A731DD">
              <w:rPr>
                <w:rFonts w:ascii="Cambria" w:eastAsia="標楷體" w:hAnsi="Cambria" w:cs="標楷體" w:hint="eastAsia"/>
                <w:sz w:val="26"/>
                <w:szCs w:val="26"/>
              </w:rPr>
              <w:t>指定藥癮戒治機構</w:t>
            </w:r>
          </w:p>
          <w:p w:rsidR="009624CD" w:rsidRPr="00A731DD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6"/>
                <w:szCs w:val="26"/>
              </w:rPr>
            </w:pPr>
            <w:r w:rsidRPr="00A731DD">
              <w:rPr>
                <w:rFonts w:ascii="Cambria" w:eastAsia="標楷體" w:hAnsi="Cambria" w:cs="標楷體" w:hint="eastAsia"/>
                <w:sz w:val="26"/>
                <w:szCs w:val="26"/>
              </w:rPr>
              <w:t>暨替代治療經驗分享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624CD" w:rsidRDefault="009624CD" w:rsidP="007203A1">
            <w:pPr>
              <w:widowControl/>
              <w:jc w:val="center"/>
              <w:rPr>
                <w:rFonts w:ascii="Cambria" w:eastAsia="標楷體" w:hAnsi="Cambria" w:cs="標楷體"/>
                <w:sz w:val="26"/>
                <w:szCs w:val="26"/>
              </w:rPr>
            </w:pPr>
            <w:r w:rsidRPr="00A731DD">
              <w:rPr>
                <w:rFonts w:ascii="Cambria" w:eastAsia="標楷體" w:hAnsi="Cambria" w:cs="標楷體"/>
                <w:sz w:val="26"/>
                <w:szCs w:val="26"/>
              </w:rPr>
              <w:t>安泰醫院社團法人安泰醫院精神科</w:t>
            </w:r>
          </w:p>
          <w:p w:rsidR="009624CD" w:rsidRPr="009E6831" w:rsidRDefault="009624CD" w:rsidP="007203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731DD">
              <w:rPr>
                <w:rFonts w:ascii="Cambria" w:eastAsia="標楷體" w:hAnsi="Cambria" w:cs="標楷體"/>
                <w:sz w:val="26"/>
                <w:szCs w:val="26"/>
              </w:rPr>
              <w:t>秦文鎮主任醫師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624CD" w:rsidRPr="00FC2EE2" w:rsidTr="007203A1">
        <w:trPr>
          <w:cantSplit/>
          <w:trHeight w:val="454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15:00-15:10</w:t>
            </w:r>
          </w:p>
        </w:tc>
        <w:tc>
          <w:tcPr>
            <w:tcW w:w="7938" w:type="dxa"/>
            <w:gridSpan w:val="3"/>
            <w:vAlign w:val="center"/>
          </w:tcPr>
          <w:p w:rsidR="009624CD" w:rsidRPr="00A731DD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6"/>
                <w:szCs w:val="26"/>
              </w:rPr>
            </w:pPr>
            <w:r w:rsidRPr="00A731DD">
              <w:rPr>
                <w:rFonts w:ascii="Cambria" w:eastAsia="標楷體" w:hAnsi="Cambria"/>
                <w:iCs/>
                <w:color w:val="000000"/>
                <w:kern w:val="0"/>
                <w:sz w:val="26"/>
                <w:szCs w:val="26"/>
              </w:rPr>
              <w:t>休息</w:t>
            </w:r>
          </w:p>
        </w:tc>
      </w:tr>
      <w:tr w:rsidR="009624CD" w:rsidRPr="00FC2EE2" w:rsidTr="007203A1">
        <w:trPr>
          <w:cantSplit/>
          <w:trHeight w:val="946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5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6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624CD" w:rsidRDefault="009624CD" w:rsidP="007203A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731DD">
              <w:rPr>
                <w:rFonts w:ascii="標楷體" w:eastAsia="標楷體" w:hAnsi="標楷體" w:cs="新細明體" w:hint="eastAsia"/>
                <w:sz w:val="26"/>
                <w:szCs w:val="26"/>
              </w:rPr>
              <w:t>藥癮戒治者家庭</w:t>
            </w:r>
          </w:p>
          <w:p w:rsidR="009624CD" w:rsidRPr="00A731DD" w:rsidRDefault="009624CD" w:rsidP="007203A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731DD">
              <w:rPr>
                <w:rFonts w:ascii="標楷體" w:eastAsia="標楷體" w:hAnsi="標楷體" w:cs="新細明體" w:hint="eastAsia"/>
                <w:sz w:val="26"/>
                <w:szCs w:val="26"/>
              </w:rPr>
              <w:t>及社會支持網絡建構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CD" w:rsidRDefault="009624CD" w:rsidP="007203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731D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高雄醫學大學醫學社會學</w:t>
            </w:r>
          </w:p>
          <w:p w:rsidR="009624CD" w:rsidRDefault="009624CD" w:rsidP="007203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731D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與社會工作學系</w:t>
            </w:r>
          </w:p>
          <w:p w:rsidR="009624CD" w:rsidRPr="00A731DD" w:rsidRDefault="009624CD" w:rsidP="007203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731D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林美專助理教授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624CD" w:rsidRPr="00FC2EE2" w:rsidTr="007203A1">
        <w:trPr>
          <w:cantSplit/>
          <w:trHeight w:val="454"/>
        </w:trPr>
        <w:tc>
          <w:tcPr>
            <w:tcW w:w="1985" w:type="dxa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7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00-</w:t>
            </w:r>
          </w:p>
        </w:tc>
        <w:tc>
          <w:tcPr>
            <w:tcW w:w="7938" w:type="dxa"/>
            <w:gridSpan w:val="3"/>
            <w:vAlign w:val="center"/>
          </w:tcPr>
          <w:p w:rsidR="009624CD" w:rsidRPr="00FC2EE2" w:rsidRDefault="009624CD" w:rsidP="007203A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9624CD" w:rsidRDefault="009624CD"/>
    <w:p w:rsidR="009624CD" w:rsidRDefault="009624CD"/>
    <w:p w:rsidR="009624CD" w:rsidRPr="00E012CE" w:rsidRDefault="009624CD" w:rsidP="009624CD">
      <w:pPr>
        <w:widowControl/>
      </w:pPr>
      <w:r>
        <w:rPr>
          <w:rFonts w:hint="eastAsia"/>
        </w:rPr>
        <w:t>二、</w:t>
      </w:r>
      <w:r w:rsidRPr="00E012CE">
        <w:rPr>
          <w:rFonts w:ascii="標楷體" w:eastAsia="標楷體" w:hAnsi="標楷體" w:hint="eastAsia"/>
          <w:sz w:val="28"/>
        </w:rPr>
        <w:t>課程內容規劃：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  <w:gridCol w:w="992"/>
      </w:tblGrid>
      <w:tr w:rsidR="009624CD" w:rsidTr="007203A1">
        <w:trPr>
          <w:trHeight w:val="5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Default="009624CD" w:rsidP="007203A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Default="009624CD" w:rsidP="007203A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Default="009624CD" w:rsidP="007203A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</w:t>
            </w:r>
          </w:p>
          <w:p w:rsidR="009624CD" w:rsidRDefault="009624CD" w:rsidP="007203A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9624CD" w:rsidTr="007203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Pr="003F7560" w:rsidRDefault="009624CD" w:rsidP="007203A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7560">
              <w:rPr>
                <w:rFonts w:ascii="標楷體" w:eastAsia="標楷體" w:hAnsi="標楷體" w:cs="新細明體" w:hint="eastAsia"/>
                <w:sz w:val="26"/>
                <w:szCs w:val="26"/>
              </w:rPr>
              <w:t>成癮專業人員執行藥癮者C肝共病防治經驗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CD" w:rsidRPr="003F7560" w:rsidRDefault="009624CD" w:rsidP="007203A1">
            <w:pPr>
              <w:widowControl/>
              <w:suppressAutoHyphens w:val="0"/>
              <w:snapToGrid w:val="0"/>
              <w:ind w:firstLineChars="100" w:firstLine="26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7560">
              <w:rPr>
                <w:rFonts w:ascii="標楷體" w:eastAsia="標楷體" w:hAnsi="標楷體" w:cs="新細明體" w:hint="eastAsia"/>
                <w:sz w:val="26"/>
                <w:szCs w:val="26"/>
              </w:rPr>
              <w:t>簡介國家目前對C肝防治政策，高雄長庚醫院海洛因個案和安非他命個案共病C肝的盛行率，及C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肝的目前治療方式。</w:t>
            </w:r>
            <w:r w:rsidRPr="003F7560">
              <w:rPr>
                <w:rFonts w:ascii="標楷體" w:eastAsia="標楷體" w:hAnsi="標楷體" w:cs="新細明體" w:hint="eastAsia"/>
                <w:sz w:val="26"/>
                <w:szCs w:val="26"/>
              </w:rPr>
              <w:t>介紹高雄長庚醫院</w:t>
            </w:r>
            <w:r w:rsidRPr="003F7560">
              <w:rPr>
                <w:rFonts w:ascii="標楷體" w:eastAsia="標楷體" w:hAnsi="標楷體" w:cs="新細明體"/>
                <w:sz w:val="26"/>
                <w:szCs w:val="26"/>
              </w:rPr>
              <w:t>和肝膽腸胃科合作，如何建構藥癮共病C肝患者轉介流程，轉介藥癮</w:t>
            </w:r>
            <w:r w:rsidRPr="003F7560">
              <w:rPr>
                <w:rFonts w:ascii="標楷體" w:eastAsia="標楷體" w:hAnsi="標楷體" w:cs="新細明體" w:hint="eastAsia"/>
                <w:sz w:val="26"/>
                <w:szCs w:val="26"/>
              </w:rPr>
              <w:t>C肝患者至</w:t>
            </w:r>
            <w:r w:rsidRPr="003F7560">
              <w:rPr>
                <w:rFonts w:ascii="標楷體" w:eastAsia="標楷體" w:hAnsi="標楷體" w:cs="新細明體"/>
                <w:sz w:val="26"/>
                <w:szCs w:val="26"/>
              </w:rPr>
              <w:t>肝膽腸胃科治療實施經驗和困境分享。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Pr="00B227D1" w:rsidRDefault="009624CD" w:rsidP="007203A1">
            <w:pPr>
              <w:snapToGrid w:val="0"/>
              <w:rPr>
                <w:rFonts w:ascii="標楷體" w:eastAsia="標楷體" w:hAnsi="標楷體"/>
              </w:rPr>
            </w:pPr>
            <w:r w:rsidRPr="00B227D1">
              <w:rPr>
                <w:rFonts w:ascii="標楷體" w:eastAsia="標楷體" w:hAnsi="標楷體" w:hint="eastAsia"/>
              </w:rPr>
              <w:t>2</w:t>
            </w:r>
          </w:p>
        </w:tc>
      </w:tr>
      <w:tr w:rsidR="009624CD" w:rsidRPr="002D00D3" w:rsidTr="007203A1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Pr="002D00D3" w:rsidRDefault="009624CD" w:rsidP="007203A1">
            <w:pPr>
              <w:widowControl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>矯正機關藥癮工作模式-科學實證下的發展軌跡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矯正署於2018年起積極建構「科學實證之毒品犯處遇模式計畫」，藥癮者戒除毒品後仍將回歸社區生活，因此矯正機關戒癮和社區戒癮模式如何發揮功能，在實證基礎下既分工且整合，前提倡貫穿式服務的重要關鍵。</w:t>
            </w:r>
          </w:p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課程中除說明矯正機關投入科學實證的現況外</w:t>
            </w:r>
          </w:p>
          <w:p w:rsidR="009624CD" w:rsidRPr="002D00D3" w:rsidRDefault="009624CD" w:rsidP="007203A1">
            <w:pPr>
              <w:pStyle w:val="a7"/>
              <w:widowControl/>
              <w:suppressAutoHyphens w:val="0"/>
              <w:snapToGrid w:val="0"/>
              <w:ind w:left="36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，亦提供藥癮處遇分工分流經驗來做為參考。</w:t>
            </w:r>
          </w:p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/>
                <w:sz w:val="26"/>
                <w:szCs w:val="26"/>
              </w:rPr>
              <w:t>在藥物濫用的議題上，家庭因素可以是保護因子也能成為風險因子，在「家庭系統」的 概念下，探討何者才是避免藥癮者再次施用毒品的保護因子。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Pr="002D00D3" w:rsidRDefault="009624CD" w:rsidP="007203A1">
            <w:pPr>
              <w:snapToGrid w:val="0"/>
              <w:rPr>
                <w:rFonts w:ascii="標楷體" w:eastAsia="標楷體" w:hAnsi="標楷體"/>
              </w:rPr>
            </w:pPr>
            <w:r w:rsidRPr="002D00D3">
              <w:rPr>
                <w:rFonts w:ascii="標楷體" w:eastAsia="標楷體" w:hAnsi="標楷體" w:hint="eastAsia"/>
              </w:rPr>
              <w:t>2</w:t>
            </w:r>
          </w:p>
        </w:tc>
      </w:tr>
      <w:tr w:rsidR="009624CD" w:rsidRPr="002D00D3" w:rsidTr="007203A1">
        <w:trPr>
          <w:trHeight w:val="1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Pr="002D00D3" w:rsidRDefault="009624CD" w:rsidP="007203A1">
            <w:pPr>
              <w:widowControl/>
              <w:snapToGrid w:val="0"/>
              <w:spacing w:line="440" w:lineRule="atLeast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2D00D3">
              <w:rPr>
                <w:rFonts w:ascii="Cambria" w:eastAsia="標楷體" w:hAnsi="Cambria" w:cs="標楷體" w:hint="eastAsia"/>
                <w:sz w:val="26"/>
                <w:szCs w:val="26"/>
              </w:rPr>
              <w:t>指定藥癮戒治機構暨替代治療經驗分享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指定藥癮戒治機構暨替代治療臨床實務與專業技巧。</w:t>
            </w:r>
          </w:p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新世代反毒策略2.0與毒品危害防制條例修法後之臨床藥癮治療的實務分享。</w:t>
            </w:r>
          </w:p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指定藥癮戒治機構與替代治療業務推動困境與挑戰。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Pr="002D00D3" w:rsidRDefault="009624CD" w:rsidP="007203A1">
            <w:pPr>
              <w:snapToGrid w:val="0"/>
              <w:rPr>
                <w:rFonts w:ascii="標楷體" w:eastAsia="標楷體" w:hAnsi="標楷體"/>
              </w:rPr>
            </w:pPr>
            <w:r w:rsidRPr="002D00D3">
              <w:rPr>
                <w:rFonts w:ascii="標楷體" w:eastAsia="標楷體" w:hAnsi="標楷體" w:hint="eastAsia"/>
              </w:rPr>
              <w:t>2</w:t>
            </w:r>
          </w:p>
        </w:tc>
      </w:tr>
      <w:tr w:rsidR="009624CD" w:rsidTr="007203A1">
        <w:trPr>
          <w:trHeight w:val="2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Pr="002D00D3" w:rsidRDefault="009624CD" w:rsidP="007203A1">
            <w:pPr>
              <w:widowControl/>
              <w:snapToGrid w:val="0"/>
              <w:spacing w:line="440" w:lineRule="atLeast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藥癮戒治者家庭及社會支持網絡建構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從認識家屬處境進而發掘與運用家庭復原力，以促進家庭復原，理解藥癮者與其家屬複雜煎熬的心理歷程與處境。</w:t>
            </w:r>
          </w:p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從優勢觀點看藥癮家庭對於藥癮者復原力，進而以生態系統的多層次理論，結合個案管理的實務運作，進而認識以家庭為基礎的處遇模式與工作要點。</w:t>
            </w:r>
          </w:p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從生態系統觀點建構藥癮家庭在社區的支持系統，介紹公私部門能給予藥癮者及其家庭之多元社會支持網絡。</w:t>
            </w:r>
          </w:p>
          <w:p w:rsidR="009624CD" w:rsidRPr="002D00D3" w:rsidRDefault="009624CD" w:rsidP="009624CD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snapToGrid w:val="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0D3">
              <w:rPr>
                <w:rFonts w:ascii="標楷體" w:eastAsia="標楷體" w:hAnsi="標楷體" w:cs="新細明體" w:hint="eastAsia"/>
                <w:sz w:val="26"/>
                <w:szCs w:val="26"/>
              </w:rPr>
              <w:t>以宗教戒毒為例，說明如何系統性地建構成人成癮者家庭及社會支持網絡，以促進成癮者邁向復原、充權家庭能力。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CD" w:rsidRDefault="009624CD" w:rsidP="007203A1">
            <w:pPr>
              <w:snapToGrid w:val="0"/>
              <w:rPr>
                <w:rFonts w:ascii="標楷體" w:eastAsia="標楷體" w:hAnsi="標楷體"/>
              </w:rPr>
            </w:pPr>
            <w:r w:rsidRPr="002D00D3"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9624CD" w:rsidRPr="009624CD" w:rsidRDefault="009624CD"/>
    <w:sectPr w:rsidR="009624CD" w:rsidRPr="009624CD" w:rsidSect="00CC6A2A">
      <w:pgSz w:w="11906" w:h="16838"/>
      <w:pgMar w:top="1134" w:right="1100" w:bottom="113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C8" w:rsidRDefault="00DA68C8" w:rsidP="00E84ECF">
      <w:r>
        <w:separator/>
      </w:r>
    </w:p>
  </w:endnote>
  <w:endnote w:type="continuationSeparator" w:id="0">
    <w:p w:rsidR="00DA68C8" w:rsidRDefault="00DA68C8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C8" w:rsidRDefault="00DA68C8" w:rsidP="00E84ECF">
      <w:r>
        <w:separator/>
      </w:r>
    </w:p>
  </w:footnote>
  <w:footnote w:type="continuationSeparator" w:id="0">
    <w:p w:rsidR="00DA68C8" w:rsidRDefault="00DA68C8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068"/>
    <w:multiLevelType w:val="hybridMultilevel"/>
    <w:tmpl w:val="EAF0BC54"/>
    <w:lvl w:ilvl="0" w:tplc="708C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143F0F"/>
    <w:multiLevelType w:val="hybridMultilevel"/>
    <w:tmpl w:val="EDB4945C"/>
    <w:lvl w:ilvl="0" w:tplc="61A2EF8C">
      <w:start w:val="1"/>
      <w:numFmt w:val="taiwaneseCountingThousand"/>
      <w:lvlText w:val="%1、"/>
      <w:lvlJc w:val="left"/>
      <w:pPr>
        <w:ind w:left="480" w:hanging="480"/>
      </w:pPr>
      <w:rPr>
        <w:b/>
        <w:bCs/>
        <w:sz w:val="27"/>
        <w:szCs w:val="27"/>
      </w:rPr>
    </w:lvl>
    <w:lvl w:ilvl="1" w:tplc="1708DE66">
      <w:start w:val="1"/>
      <w:numFmt w:val="taiwaneseCountingThousand"/>
      <w:lvlText w:val="（%2）"/>
      <w:lvlJc w:val="left"/>
      <w:pPr>
        <w:ind w:left="1236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06449C"/>
    <w:multiLevelType w:val="hybridMultilevel"/>
    <w:tmpl w:val="EAF0BC54"/>
    <w:lvl w:ilvl="0" w:tplc="708C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B13A1B"/>
    <w:multiLevelType w:val="hybridMultilevel"/>
    <w:tmpl w:val="EAF0BC54"/>
    <w:lvl w:ilvl="0" w:tplc="708C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CD"/>
    <w:rsid w:val="000A67AF"/>
    <w:rsid w:val="000E60E6"/>
    <w:rsid w:val="00173488"/>
    <w:rsid w:val="0036208C"/>
    <w:rsid w:val="004111B7"/>
    <w:rsid w:val="004F29B3"/>
    <w:rsid w:val="00675275"/>
    <w:rsid w:val="00895D3B"/>
    <w:rsid w:val="008A0341"/>
    <w:rsid w:val="008B2964"/>
    <w:rsid w:val="009217AD"/>
    <w:rsid w:val="009624CD"/>
    <w:rsid w:val="00967631"/>
    <w:rsid w:val="009A6900"/>
    <w:rsid w:val="009F0CC7"/>
    <w:rsid w:val="00B36462"/>
    <w:rsid w:val="00CC6A2A"/>
    <w:rsid w:val="00DA68C8"/>
    <w:rsid w:val="00E7363D"/>
    <w:rsid w:val="00E84ECF"/>
    <w:rsid w:val="00E85BF2"/>
    <w:rsid w:val="00F650B7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A2E3D7-76AA-43E8-8C3A-98FC9837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CD"/>
    <w:pPr>
      <w:widowControl w:val="0"/>
      <w:suppressAutoHyphens/>
      <w:spacing w:line="240" w:lineRule="auto"/>
    </w:pPr>
    <w:rPr>
      <w:rFonts w:ascii="Calibri" w:hAnsi="Calibri" w:cs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paragraph" w:styleId="a7">
    <w:name w:val="List Paragraph"/>
    <w:basedOn w:val="a"/>
    <w:uiPriority w:val="34"/>
    <w:qFormat/>
    <w:rsid w:val="009624CD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san-Yuan Huang</cp:lastModifiedBy>
  <cp:revision>3</cp:revision>
  <dcterms:created xsi:type="dcterms:W3CDTF">2023-03-03T09:12:00Z</dcterms:created>
  <dcterms:modified xsi:type="dcterms:W3CDTF">2023-03-03T09:12:00Z</dcterms:modified>
</cp:coreProperties>
</file>